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ADFF30" w14:textId="77777777" w:rsidR="00383157" w:rsidRPr="002C438C" w:rsidRDefault="00383157" w:rsidP="00D40900">
      <w:pPr>
        <w:jc w:val="center"/>
        <w:rPr>
          <w:b/>
          <w:iCs/>
        </w:rPr>
      </w:pPr>
      <w:bookmarkStart w:id="0" w:name="_GoBack"/>
      <w:bookmarkEnd w:id="0"/>
    </w:p>
    <w:p w14:paraId="6E21DF01" w14:textId="28A79FE6" w:rsidR="00D40900" w:rsidRPr="002C438C" w:rsidRDefault="00D40900" w:rsidP="00D40900">
      <w:pPr>
        <w:jc w:val="center"/>
        <w:rPr>
          <w:b/>
          <w:iCs/>
        </w:rPr>
      </w:pPr>
      <w:r w:rsidRPr="002C438C">
        <w:rPr>
          <w:b/>
          <w:iCs/>
        </w:rPr>
        <w:t>TEXTO DEFINITIVO APROBADO EN LA SESIÓN DE LA COMISIÓN TERCERA PERMANENTE DE HACIENDA Y CRÉDITO PÚBLICO</w:t>
      </w:r>
    </w:p>
    <w:p w14:paraId="2475109E" w14:textId="22B324F3" w:rsidR="00D40900" w:rsidRPr="002C438C" w:rsidRDefault="00D40900" w:rsidP="00D40900">
      <w:pPr>
        <w:jc w:val="center"/>
        <w:rPr>
          <w:b/>
          <w:iCs/>
        </w:rPr>
      </w:pPr>
      <w:r w:rsidRPr="002C438C">
        <w:rPr>
          <w:b/>
          <w:iCs/>
        </w:rPr>
        <w:t xml:space="preserve">REALIZADA EL DÍA </w:t>
      </w:r>
      <w:r w:rsidR="002C438C" w:rsidRPr="002C438C">
        <w:rPr>
          <w:b/>
          <w:iCs/>
        </w:rPr>
        <w:t>VIERNES</w:t>
      </w:r>
      <w:r w:rsidRPr="002C438C">
        <w:rPr>
          <w:b/>
          <w:iCs/>
        </w:rPr>
        <w:t xml:space="preserve"> </w:t>
      </w:r>
      <w:r w:rsidR="002C438C" w:rsidRPr="002C438C">
        <w:rPr>
          <w:b/>
          <w:iCs/>
        </w:rPr>
        <w:t xml:space="preserve">28 </w:t>
      </w:r>
      <w:r w:rsidRPr="002C438C">
        <w:rPr>
          <w:b/>
          <w:iCs/>
        </w:rPr>
        <w:t xml:space="preserve">DE </w:t>
      </w:r>
      <w:r w:rsidR="002C438C" w:rsidRPr="002C438C">
        <w:rPr>
          <w:b/>
          <w:iCs/>
        </w:rPr>
        <w:t>NOVIEMBRE</w:t>
      </w:r>
      <w:r w:rsidRPr="002C438C">
        <w:rPr>
          <w:b/>
          <w:iCs/>
        </w:rPr>
        <w:t xml:space="preserve"> DE 2025</w:t>
      </w:r>
    </w:p>
    <w:p w14:paraId="3515121E" w14:textId="77777777" w:rsidR="00383157" w:rsidRPr="002C438C" w:rsidRDefault="00383157" w:rsidP="00D40900">
      <w:pPr>
        <w:jc w:val="center"/>
        <w:rPr>
          <w:b/>
          <w:iCs/>
        </w:rPr>
      </w:pPr>
    </w:p>
    <w:p w14:paraId="1CE639B7" w14:textId="1764981A" w:rsidR="004D0443" w:rsidRPr="002C438C" w:rsidRDefault="00D40900" w:rsidP="008723BD">
      <w:pPr>
        <w:tabs>
          <w:tab w:val="left" w:pos="3119"/>
        </w:tabs>
        <w:jc w:val="both"/>
        <w:rPr>
          <w:b/>
          <w:iCs/>
        </w:rPr>
      </w:pPr>
      <w:r w:rsidRPr="002C438C">
        <w:rPr>
          <w:b/>
          <w:lang w:val="es-CO"/>
        </w:rPr>
        <w:t xml:space="preserve"> </w:t>
      </w:r>
    </w:p>
    <w:p w14:paraId="4BDE5206" w14:textId="4BC537C9" w:rsidR="004A29ED" w:rsidRPr="002C438C" w:rsidRDefault="004A29ED" w:rsidP="004A29ED">
      <w:pPr>
        <w:jc w:val="center"/>
        <w:rPr>
          <w:b/>
          <w:bCs/>
        </w:rPr>
      </w:pPr>
      <w:bookmarkStart w:id="1" w:name="_heading=h.kjhb6djejv4e" w:colFirst="0" w:colLast="0"/>
      <w:bookmarkEnd w:id="1"/>
      <w:r w:rsidRPr="002C438C">
        <w:rPr>
          <w:b/>
          <w:bCs/>
        </w:rPr>
        <w:t xml:space="preserve">PROYECTO DE ACUERDO No. </w:t>
      </w:r>
      <w:r w:rsidR="002C438C" w:rsidRPr="002C438C">
        <w:rPr>
          <w:b/>
          <w:bCs/>
        </w:rPr>
        <w:t>867</w:t>
      </w:r>
      <w:r w:rsidRPr="002C438C">
        <w:rPr>
          <w:b/>
          <w:bCs/>
        </w:rPr>
        <w:t xml:space="preserve"> DE 2025</w:t>
      </w:r>
    </w:p>
    <w:p w14:paraId="17A0916C" w14:textId="77777777" w:rsidR="00A765E5" w:rsidRPr="002C438C" w:rsidRDefault="00A765E5" w:rsidP="007333AA">
      <w:pPr>
        <w:pStyle w:val="Default"/>
        <w:jc w:val="center"/>
      </w:pPr>
    </w:p>
    <w:p w14:paraId="4EC3C2A3" w14:textId="77777777" w:rsidR="002C438C" w:rsidRPr="002C438C" w:rsidRDefault="002C438C" w:rsidP="002C438C">
      <w:pPr>
        <w:autoSpaceDE w:val="0"/>
        <w:autoSpaceDN w:val="0"/>
        <w:adjustRightInd w:val="0"/>
        <w:rPr>
          <w:color w:val="000000"/>
          <w:lang w:val="es-CO"/>
        </w:rPr>
      </w:pPr>
    </w:p>
    <w:p w14:paraId="470EBBBC" w14:textId="02C41127" w:rsidR="002C438C" w:rsidRPr="002C438C" w:rsidRDefault="002C438C" w:rsidP="002C438C">
      <w:pPr>
        <w:autoSpaceDE w:val="0"/>
        <w:autoSpaceDN w:val="0"/>
        <w:adjustRightInd w:val="0"/>
        <w:jc w:val="center"/>
        <w:rPr>
          <w:b/>
          <w:i/>
          <w:iCs/>
          <w:color w:val="000000"/>
          <w:lang w:val="es-CO"/>
        </w:rPr>
      </w:pPr>
      <w:r w:rsidRPr="002C438C">
        <w:rPr>
          <w:b/>
          <w:color w:val="000000"/>
          <w:lang w:val="es-CO"/>
        </w:rPr>
        <w:t>“</w:t>
      </w:r>
      <w:r w:rsidRPr="002C438C">
        <w:rPr>
          <w:b/>
          <w:i/>
          <w:iCs/>
          <w:color w:val="000000"/>
          <w:lang w:val="es-CO"/>
        </w:rPr>
        <w:t>POR MEDIO DEL CUAL SE ESTABLECEN LOS LINEAMIENTOS PARA LA INSTITUCIONALIZACIÓN DE LA SEMANA DEL CONTRIBUYENTE EJEMPLAR EN EL DISTRITO CAPITAL Y SE DICTAN OTRAS DISPOSICIONES”.</w:t>
      </w:r>
    </w:p>
    <w:p w14:paraId="64BD6C74" w14:textId="77777777" w:rsidR="002C438C" w:rsidRPr="002C438C" w:rsidRDefault="002C438C" w:rsidP="002C438C">
      <w:pPr>
        <w:autoSpaceDE w:val="0"/>
        <w:autoSpaceDN w:val="0"/>
        <w:adjustRightInd w:val="0"/>
        <w:rPr>
          <w:color w:val="000000"/>
          <w:lang w:val="es-CO"/>
        </w:rPr>
      </w:pPr>
    </w:p>
    <w:p w14:paraId="1B44F0F1" w14:textId="00E6C15C" w:rsidR="002C438C" w:rsidRDefault="002C438C" w:rsidP="002C438C">
      <w:pPr>
        <w:autoSpaceDE w:val="0"/>
        <w:autoSpaceDN w:val="0"/>
        <w:adjustRightInd w:val="0"/>
        <w:jc w:val="center"/>
        <w:rPr>
          <w:b/>
          <w:bCs/>
          <w:color w:val="000000"/>
          <w:lang w:val="es-CO"/>
        </w:rPr>
      </w:pPr>
      <w:r w:rsidRPr="002C438C">
        <w:rPr>
          <w:b/>
          <w:bCs/>
          <w:color w:val="000000"/>
          <w:lang w:val="es-CO"/>
        </w:rPr>
        <w:t>EL CONCEJO DE BOGOTÁ, D. C.,</w:t>
      </w:r>
    </w:p>
    <w:p w14:paraId="2F94854B" w14:textId="77777777" w:rsidR="002C438C" w:rsidRPr="002C438C" w:rsidRDefault="002C438C" w:rsidP="002C438C">
      <w:pPr>
        <w:autoSpaceDE w:val="0"/>
        <w:autoSpaceDN w:val="0"/>
        <w:adjustRightInd w:val="0"/>
        <w:jc w:val="center"/>
        <w:rPr>
          <w:color w:val="000000"/>
          <w:lang w:val="es-CO"/>
        </w:rPr>
      </w:pPr>
    </w:p>
    <w:p w14:paraId="3EDC18A1" w14:textId="41077D80" w:rsidR="002C438C" w:rsidRDefault="002C438C" w:rsidP="002C438C">
      <w:pPr>
        <w:autoSpaceDE w:val="0"/>
        <w:autoSpaceDN w:val="0"/>
        <w:adjustRightInd w:val="0"/>
        <w:jc w:val="center"/>
        <w:rPr>
          <w:color w:val="000000"/>
          <w:lang w:val="es-CO"/>
        </w:rPr>
      </w:pPr>
      <w:r w:rsidRPr="002C438C">
        <w:rPr>
          <w:color w:val="000000"/>
          <w:lang w:val="es-CO"/>
        </w:rPr>
        <w:t>En uso de sus facultades constitucionales y legales, en especial las conferidas por el numeral 1 del artículo 12 del Decreto Ley 1421 de 1993.</w:t>
      </w:r>
    </w:p>
    <w:p w14:paraId="576672D6" w14:textId="77777777" w:rsidR="002C438C" w:rsidRPr="002C438C" w:rsidRDefault="002C438C" w:rsidP="002C438C">
      <w:pPr>
        <w:autoSpaceDE w:val="0"/>
        <w:autoSpaceDN w:val="0"/>
        <w:adjustRightInd w:val="0"/>
        <w:jc w:val="center"/>
        <w:rPr>
          <w:color w:val="000000"/>
          <w:lang w:val="es-CO"/>
        </w:rPr>
      </w:pPr>
    </w:p>
    <w:p w14:paraId="1CA9B27B" w14:textId="10394A5E" w:rsidR="002C438C" w:rsidRPr="002C438C" w:rsidRDefault="002C438C" w:rsidP="002C438C">
      <w:pPr>
        <w:autoSpaceDE w:val="0"/>
        <w:autoSpaceDN w:val="0"/>
        <w:adjustRightInd w:val="0"/>
        <w:jc w:val="center"/>
        <w:rPr>
          <w:color w:val="000000"/>
          <w:lang w:val="es-CO"/>
        </w:rPr>
      </w:pPr>
      <w:r w:rsidRPr="002C438C">
        <w:rPr>
          <w:b/>
          <w:bCs/>
          <w:color w:val="000000"/>
          <w:lang w:val="es-CO"/>
        </w:rPr>
        <w:t>ACUERDA:</w:t>
      </w:r>
    </w:p>
    <w:p w14:paraId="3530D1EE" w14:textId="105065B2" w:rsidR="002C438C" w:rsidRDefault="002C438C" w:rsidP="002C438C">
      <w:pPr>
        <w:autoSpaceDE w:val="0"/>
        <w:autoSpaceDN w:val="0"/>
        <w:adjustRightInd w:val="0"/>
        <w:jc w:val="both"/>
        <w:rPr>
          <w:color w:val="000000"/>
          <w:lang w:val="es-CO"/>
        </w:rPr>
      </w:pPr>
      <w:r w:rsidRPr="002C438C">
        <w:rPr>
          <w:b/>
          <w:bCs/>
          <w:color w:val="000000"/>
          <w:lang w:val="es-CO"/>
        </w:rPr>
        <w:t>Artículo 1. OBJETO</w:t>
      </w:r>
      <w:r w:rsidRPr="002C438C">
        <w:rPr>
          <w:color w:val="000000"/>
          <w:lang w:val="es-CO"/>
        </w:rPr>
        <w:t xml:space="preserve">. El presente acuerdo busca definir los lineamientos para la institucionalización de la semana del “contribuyente ejemplar en el Distrito”, la cual será conmemorada la segunda semana del mes de noviembre cada anualidad, como reconocimiento y exaltación sobre la importancia de la contribución ciudadana en el Distrito Capital. </w:t>
      </w:r>
    </w:p>
    <w:p w14:paraId="775A0AFE" w14:textId="77777777" w:rsidR="002C438C" w:rsidRPr="002C438C" w:rsidRDefault="002C438C" w:rsidP="002C438C">
      <w:pPr>
        <w:autoSpaceDE w:val="0"/>
        <w:autoSpaceDN w:val="0"/>
        <w:adjustRightInd w:val="0"/>
        <w:jc w:val="both"/>
        <w:rPr>
          <w:color w:val="000000"/>
          <w:lang w:val="es-CO"/>
        </w:rPr>
      </w:pPr>
    </w:p>
    <w:p w14:paraId="2CF2689C" w14:textId="5464AE5B" w:rsidR="002C438C" w:rsidRDefault="002C438C" w:rsidP="002C438C">
      <w:pPr>
        <w:autoSpaceDE w:val="0"/>
        <w:autoSpaceDN w:val="0"/>
        <w:adjustRightInd w:val="0"/>
        <w:jc w:val="both"/>
        <w:rPr>
          <w:color w:val="000000"/>
          <w:lang w:val="es-CO"/>
        </w:rPr>
      </w:pPr>
      <w:r w:rsidRPr="002C438C">
        <w:rPr>
          <w:b/>
          <w:bCs/>
          <w:color w:val="000000"/>
          <w:lang w:val="es-CO"/>
        </w:rPr>
        <w:t>Artículo 2. LINEAMIENTOS</w:t>
      </w:r>
      <w:r w:rsidRPr="002C438C">
        <w:rPr>
          <w:color w:val="000000"/>
          <w:lang w:val="es-CO"/>
        </w:rPr>
        <w:t xml:space="preserve">. La Administración Distrital, definirá los lineamientos para escogencia del contribuyente ejemplar en el Distrito Capital, propendiendo por la generación de un reconocimiento público a los contribuyentes (personas naturales y jurídicas) que han cumplido de manera puntual y habitual con sus obligaciones fiscales. </w:t>
      </w:r>
    </w:p>
    <w:p w14:paraId="3581AB1B" w14:textId="77777777" w:rsidR="002C438C" w:rsidRPr="002C438C" w:rsidRDefault="002C438C" w:rsidP="002C438C">
      <w:pPr>
        <w:autoSpaceDE w:val="0"/>
        <w:autoSpaceDN w:val="0"/>
        <w:adjustRightInd w:val="0"/>
        <w:jc w:val="both"/>
        <w:rPr>
          <w:color w:val="000000"/>
          <w:lang w:val="es-CO"/>
        </w:rPr>
      </w:pPr>
    </w:p>
    <w:p w14:paraId="240B0EF1" w14:textId="4A8E00AD" w:rsidR="002C438C" w:rsidRDefault="002C438C" w:rsidP="002C438C">
      <w:pPr>
        <w:pStyle w:val="Default"/>
        <w:jc w:val="both"/>
      </w:pPr>
      <w:r w:rsidRPr="002C438C">
        <w:rPr>
          <w:b/>
          <w:bCs/>
        </w:rPr>
        <w:t>Artículo 3. EDUCACIÓN TRIBUTARIA Y CAMPAÑAS DE SENSIBILIZACIÓN</w:t>
      </w:r>
      <w:r w:rsidRPr="002C438C">
        <w:t xml:space="preserve">. La Administración Distrital buscará el desarrollo e implementación de manera permanente de programas de educación tributaria dirigida a los distintos grupos etarios, orientados a fomentar la cultura de pago y prevenir la evasión y sus consecuencias, así como campañas de sensibilización que contribuyan a mitigar la desconfianza ciudadana frente al sistema contributivo del Distrito, promoviendo la transparencia en el manejo de los recursos públicos mediante procesos de rendición de cuentas e informes periódicos sobre la inversión y destinación de los tributos recaudados. </w:t>
      </w:r>
    </w:p>
    <w:p w14:paraId="44BCCCD5" w14:textId="77777777" w:rsidR="002C438C" w:rsidRPr="002C438C" w:rsidRDefault="002C438C" w:rsidP="002C438C">
      <w:pPr>
        <w:pStyle w:val="Default"/>
        <w:jc w:val="both"/>
      </w:pPr>
    </w:p>
    <w:p w14:paraId="57490286" w14:textId="77777777" w:rsidR="002C438C" w:rsidRPr="002C438C" w:rsidRDefault="002C438C" w:rsidP="002C438C">
      <w:pPr>
        <w:autoSpaceDE w:val="0"/>
        <w:autoSpaceDN w:val="0"/>
        <w:adjustRightInd w:val="0"/>
        <w:jc w:val="both"/>
        <w:rPr>
          <w:color w:val="000000"/>
          <w:lang w:val="es-CO"/>
        </w:rPr>
      </w:pPr>
      <w:r w:rsidRPr="002C438C">
        <w:rPr>
          <w:b/>
          <w:bCs/>
          <w:color w:val="000000"/>
          <w:lang w:val="es-CO"/>
        </w:rPr>
        <w:t>Artículo 4. ACTIVIDADES CONMEMORATIVAS</w:t>
      </w:r>
      <w:r w:rsidRPr="002C438C">
        <w:rPr>
          <w:color w:val="000000"/>
          <w:lang w:val="es-CO"/>
        </w:rPr>
        <w:t xml:space="preserve">. Dentro del marco de la semana del contribuyente ejemplar, se organizarán actividades conmemorativas, tales como: </w:t>
      </w:r>
    </w:p>
    <w:p w14:paraId="26F2B9C1" w14:textId="77777777" w:rsidR="002C438C" w:rsidRPr="002C438C" w:rsidRDefault="002C438C" w:rsidP="002C438C">
      <w:pPr>
        <w:autoSpaceDE w:val="0"/>
        <w:autoSpaceDN w:val="0"/>
        <w:adjustRightInd w:val="0"/>
        <w:jc w:val="both"/>
        <w:rPr>
          <w:color w:val="000000"/>
          <w:lang w:val="es-CO"/>
        </w:rPr>
      </w:pPr>
      <w:r w:rsidRPr="002C438C">
        <w:rPr>
          <w:color w:val="000000"/>
          <w:lang w:val="es-CO"/>
        </w:rPr>
        <w:t xml:space="preserve">a) Foros informativos sobre la importancia del cumplimiento tributario y sus beneficios. </w:t>
      </w:r>
    </w:p>
    <w:p w14:paraId="48CCEA3E" w14:textId="77777777" w:rsidR="002C438C" w:rsidRPr="002C438C" w:rsidRDefault="002C438C" w:rsidP="002C438C">
      <w:pPr>
        <w:autoSpaceDE w:val="0"/>
        <w:autoSpaceDN w:val="0"/>
        <w:adjustRightInd w:val="0"/>
        <w:jc w:val="both"/>
        <w:rPr>
          <w:color w:val="000000"/>
          <w:lang w:val="es-CO"/>
        </w:rPr>
      </w:pPr>
      <w:r w:rsidRPr="002C438C">
        <w:rPr>
          <w:color w:val="000000"/>
          <w:lang w:val="es-CO"/>
        </w:rPr>
        <w:t xml:space="preserve">b) Reconocimientos públicos a contribuyentes destacados y responsables. </w:t>
      </w:r>
    </w:p>
    <w:p w14:paraId="78433126" w14:textId="77777777" w:rsidR="002C438C" w:rsidRPr="002C438C" w:rsidRDefault="002C438C" w:rsidP="002C438C">
      <w:pPr>
        <w:autoSpaceDE w:val="0"/>
        <w:autoSpaceDN w:val="0"/>
        <w:adjustRightInd w:val="0"/>
        <w:jc w:val="both"/>
        <w:rPr>
          <w:color w:val="000000"/>
          <w:lang w:val="es-CO"/>
        </w:rPr>
      </w:pPr>
      <w:r w:rsidRPr="002C438C">
        <w:rPr>
          <w:color w:val="000000"/>
          <w:lang w:val="es-CO"/>
        </w:rPr>
        <w:t xml:space="preserve">c) Talleres y capacitaciones sobre derechos y obligaciones tributarias. </w:t>
      </w:r>
    </w:p>
    <w:p w14:paraId="44C17CD6" w14:textId="77777777" w:rsidR="002C438C" w:rsidRPr="002C438C" w:rsidRDefault="002C438C" w:rsidP="002C438C">
      <w:pPr>
        <w:autoSpaceDE w:val="0"/>
        <w:autoSpaceDN w:val="0"/>
        <w:adjustRightInd w:val="0"/>
        <w:jc w:val="both"/>
        <w:rPr>
          <w:color w:val="000000"/>
          <w:lang w:val="es-CO"/>
        </w:rPr>
      </w:pPr>
      <w:r w:rsidRPr="002C438C">
        <w:rPr>
          <w:color w:val="000000"/>
          <w:lang w:val="es-CO"/>
        </w:rPr>
        <w:t xml:space="preserve">d) Campañas de sensibilización sobre la cultura tributaria. </w:t>
      </w:r>
    </w:p>
    <w:p w14:paraId="4DDEE54C" w14:textId="1A0AD502" w:rsidR="002C438C" w:rsidRDefault="002C438C" w:rsidP="002C438C">
      <w:pPr>
        <w:autoSpaceDE w:val="0"/>
        <w:autoSpaceDN w:val="0"/>
        <w:adjustRightInd w:val="0"/>
        <w:jc w:val="both"/>
        <w:rPr>
          <w:color w:val="000000"/>
          <w:lang w:val="es-CO"/>
        </w:rPr>
      </w:pPr>
      <w:r w:rsidRPr="002C438C">
        <w:rPr>
          <w:color w:val="000000"/>
          <w:lang w:val="es-CO"/>
        </w:rPr>
        <w:t xml:space="preserve">e) Presentación de resultados sobre los programas de educación tributaria y las campañas de sensibilización adelantadas, incluyendo sus impactos y alcances. </w:t>
      </w:r>
    </w:p>
    <w:p w14:paraId="2C9A6819" w14:textId="77777777" w:rsidR="002C438C" w:rsidRPr="002C438C" w:rsidRDefault="002C438C" w:rsidP="002C438C">
      <w:pPr>
        <w:autoSpaceDE w:val="0"/>
        <w:autoSpaceDN w:val="0"/>
        <w:adjustRightInd w:val="0"/>
        <w:jc w:val="both"/>
        <w:rPr>
          <w:color w:val="000000"/>
          <w:lang w:val="es-CO"/>
        </w:rPr>
      </w:pPr>
    </w:p>
    <w:p w14:paraId="7B0F805A" w14:textId="77777777" w:rsidR="002C438C" w:rsidRPr="002C438C" w:rsidRDefault="002C438C" w:rsidP="002C438C">
      <w:pPr>
        <w:autoSpaceDE w:val="0"/>
        <w:autoSpaceDN w:val="0"/>
        <w:adjustRightInd w:val="0"/>
        <w:jc w:val="both"/>
        <w:rPr>
          <w:color w:val="000000"/>
          <w:lang w:val="es-CO"/>
        </w:rPr>
      </w:pPr>
      <w:r w:rsidRPr="002C438C">
        <w:rPr>
          <w:b/>
          <w:bCs/>
          <w:color w:val="000000"/>
          <w:lang w:val="es-CO"/>
        </w:rPr>
        <w:t>Artículo 5. INCENTIVOS</w:t>
      </w:r>
      <w:r w:rsidRPr="002C438C">
        <w:rPr>
          <w:color w:val="000000"/>
          <w:lang w:val="es-CO"/>
        </w:rPr>
        <w:t xml:space="preserve">. La Administración Distrital tendrá como incentivos para los contribuyentes ejemplares, los siguientes: </w:t>
      </w:r>
    </w:p>
    <w:p w14:paraId="1CBC048B" w14:textId="77777777" w:rsidR="002C438C" w:rsidRPr="002C438C" w:rsidRDefault="002C438C" w:rsidP="002C438C">
      <w:pPr>
        <w:autoSpaceDE w:val="0"/>
        <w:autoSpaceDN w:val="0"/>
        <w:adjustRightInd w:val="0"/>
        <w:jc w:val="both"/>
        <w:rPr>
          <w:color w:val="000000"/>
          <w:lang w:val="es-CO"/>
        </w:rPr>
      </w:pPr>
      <w:r w:rsidRPr="002C438C">
        <w:rPr>
          <w:color w:val="000000"/>
          <w:lang w:val="es-CO"/>
        </w:rPr>
        <w:t xml:space="preserve">1. El reconocimiento por buena cultura de pago en la página web de la Secretaría de Hacienda. </w:t>
      </w:r>
    </w:p>
    <w:p w14:paraId="7407081B" w14:textId="3A984DAA" w:rsidR="002C438C" w:rsidRDefault="002C438C" w:rsidP="002C438C">
      <w:pPr>
        <w:autoSpaceDE w:val="0"/>
        <w:autoSpaceDN w:val="0"/>
        <w:adjustRightInd w:val="0"/>
        <w:jc w:val="both"/>
        <w:rPr>
          <w:color w:val="000000"/>
          <w:lang w:val="es-CO"/>
        </w:rPr>
      </w:pPr>
      <w:r w:rsidRPr="002C438C">
        <w:rPr>
          <w:color w:val="000000"/>
          <w:lang w:val="es-CO"/>
        </w:rPr>
        <w:t xml:space="preserve">2. Generación de un certificado de reconocimiento por buen comportamiento tributario. </w:t>
      </w:r>
    </w:p>
    <w:p w14:paraId="7FE850A4" w14:textId="77777777" w:rsidR="002C438C" w:rsidRPr="002C438C" w:rsidRDefault="002C438C" w:rsidP="002C438C">
      <w:pPr>
        <w:autoSpaceDE w:val="0"/>
        <w:autoSpaceDN w:val="0"/>
        <w:adjustRightInd w:val="0"/>
        <w:jc w:val="both"/>
        <w:rPr>
          <w:color w:val="000000"/>
          <w:lang w:val="es-CO"/>
        </w:rPr>
      </w:pPr>
    </w:p>
    <w:p w14:paraId="4CCEFC2D" w14:textId="0E6A9446" w:rsidR="002C438C" w:rsidRDefault="002C438C" w:rsidP="002C438C">
      <w:pPr>
        <w:autoSpaceDE w:val="0"/>
        <w:autoSpaceDN w:val="0"/>
        <w:adjustRightInd w:val="0"/>
        <w:jc w:val="both"/>
        <w:rPr>
          <w:color w:val="000000"/>
          <w:lang w:val="es-CO"/>
        </w:rPr>
      </w:pPr>
      <w:r w:rsidRPr="002C438C">
        <w:rPr>
          <w:b/>
          <w:bCs/>
          <w:color w:val="000000"/>
          <w:lang w:val="es-CO"/>
        </w:rPr>
        <w:t>Artículo 6. IMPLEMENTACIÓN</w:t>
      </w:r>
      <w:r w:rsidRPr="002C438C">
        <w:rPr>
          <w:color w:val="000000"/>
          <w:lang w:val="es-CO"/>
        </w:rPr>
        <w:t xml:space="preserve">. La Administración Distrital, en articulación con las entidades competentes coordinará y dirigirá las actividades y proyectos tendientes al cumplimiento del objeto del presente acuerdo. </w:t>
      </w:r>
    </w:p>
    <w:p w14:paraId="29C6FC1A" w14:textId="77777777" w:rsidR="002C438C" w:rsidRPr="002C438C" w:rsidRDefault="002C438C" w:rsidP="002C438C">
      <w:pPr>
        <w:autoSpaceDE w:val="0"/>
        <w:autoSpaceDN w:val="0"/>
        <w:adjustRightInd w:val="0"/>
        <w:jc w:val="both"/>
        <w:rPr>
          <w:color w:val="000000"/>
          <w:lang w:val="es-CO"/>
        </w:rPr>
      </w:pPr>
    </w:p>
    <w:p w14:paraId="3BAD3AAA" w14:textId="51C22D89" w:rsidR="002C438C" w:rsidRDefault="002C438C" w:rsidP="002C438C">
      <w:pPr>
        <w:autoSpaceDE w:val="0"/>
        <w:autoSpaceDN w:val="0"/>
        <w:adjustRightInd w:val="0"/>
        <w:jc w:val="both"/>
        <w:rPr>
          <w:color w:val="000000"/>
          <w:lang w:val="es-CO"/>
        </w:rPr>
      </w:pPr>
      <w:r w:rsidRPr="002C438C">
        <w:rPr>
          <w:b/>
          <w:bCs/>
          <w:color w:val="000000"/>
          <w:lang w:val="es-CO"/>
        </w:rPr>
        <w:t>Artículo 7. REGLAMENTACIÓN</w:t>
      </w:r>
      <w:r w:rsidRPr="002C438C">
        <w:rPr>
          <w:color w:val="000000"/>
          <w:lang w:val="es-CO"/>
        </w:rPr>
        <w:t xml:space="preserve">. La Administración Distrital contará con un plazo de doce (12) meses a partir de la promulgación del acuerdo para establecer la reglamentación correspondiente y asegurar su ejecución. </w:t>
      </w:r>
    </w:p>
    <w:p w14:paraId="2159D489" w14:textId="77777777" w:rsidR="002C438C" w:rsidRPr="002C438C" w:rsidRDefault="002C438C" w:rsidP="002C438C">
      <w:pPr>
        <w:autoSpaceDE w:val="0"/>
        <w:autoSpaceDN w:val="0"/>
        <w:adjustRightInd w:val="0"/>
        <w:jc w:val="both"/>
        <w:rPr>
          <w:color w:val="000000"/>
          <w:lang w:val="es-CO"/>
        </w:rPr>
      </w:pPr>
    </w:p>
    <w:p w14:paraId="7FB0704F" w14:textId="0E3B579A" w:rsidR="002C438C" w:rsidRDefault="002C438C" w:rsidP="002C438C">
      <w:pPr>
        <w:autoSpaceDE w:val="0"/>
        <w:autoSpaceDN w:val="0"/>
        <w:adjustRightInd w:val="0"/>
        <w:jc w:val="both"/>
        <w:rPr>
          <w:color w:val="000000"/>
          <w:lang w:val="es-CO"/>
        </w:rPr>
      </w:pPr>
      <w:r w:rsidRPr="002C438C">
        <w:rPr>
          <w:b/>
          <w:bCs/>
          <w:color w:val="000000"/>
          <w:lang w:val="es-CO"/>
        </w:rPr>
        <w:t>Artículo 8. VIGENCIA</w:t>
      </w:r>
      <w:r w:rsidRPr="002C438C">
        <w:rPr>
          <w:color w:val="000000"/>
          <w:lang w:val="es-CO"/>
        </w:rPr>
        <w:t xml:space="preserve">. El presente Acuerdo rige a partir de la fecha de su publicación. </w:t>
      </w:r>
    </w:p>
    <w:p w14:paraId="159C5B88" w14:textId="77777777" w:rsidR="002C438C" w:rsidRPr="002C438C" w:rsidRDefault="002C438C" w:rsidP="002C438C">
      <w:pPr>
        <w:autoSpaceDE w:val="0"/>
        <w:autoSpaceDN w:val="0"/>
        <w:adjustRightInd w:val="0"/>
        <w:rPr>
          <w:color w:val="000000"/>
          <w:lang w:val="es-CO"/>
        </w:rPr>
      </w:pPr>
    </w:p>
    <w:p w14:paraId="1F504296" w14:textId="2ED17DC3" w:rsidR="002C438C" w:rsidRPr="002C438C" w:rsidRDefault="002C438C" w:rsidP="002C438C">
      <w:pPr>
        <w:ind w:left="-5" w:hanging="10"/>
        <w:jc w:val="center"/>
        <w:rPr>
          <w:color w:val="000000"/>
          <w:lang w:val="es-CO"/>
        </w:rPr>
      </w:pPr>
      <w:r w:rsidRPr="002C438C">
        <w:rPr>
          <w:b/>
          <w:bCs/>
          <w:color w:val="000000"/>
          <w:lang w:val="es-CO"/>
        </w:rPr>
        <w:t>PUBLÍQUESE, COMUNÍQUESE Y CÚMPLASE</w:t>
      </w:r>
    </w:p>
    <w:p w14:paraId="46031425" w14:textId="77777777" w:rsidR="002C438C" w:rsidRPr="002C438C" w:rsidRDefault="002C438C" w:rsidP="002C438C">
      <w:pPr>
        <w:ind w:left="-5" w:hanging="10"/>
        <w:jc w:val="both"/>
        <w:rPr>
          <w:b/>
          <w:bCs/>
        </w:rPr>
      </w:pPr>
    </w:p>
    <w:p w14:paraId="1CE639F6" w14:textId="17AF74EF" w:rsidR="004D0443" w:rsidRPr="002C438C" w:rsidRDefault="004D0443" w:rsidP="00D94123">
      <w:pPr>
        <w:pBdr>
          <w:top w:val="nil"/>
          <w:left w:val="nil"/>
          <w:bottom w:val="nil"/>
          <w:right w:val="nil"/>
          <w:between w:val="nil"/>
        </w:pBdr>
        <w:rPr>
          <w:b/>
          <w:color w:val="000000"/>
        </w:rPr>
      </w:pPr>
    </w:p>
    <w:sectPr w:rsidR="004D0443" w:rsidRPr="002C438C" w:rsidSect="008723BD">
      <w:headerReference w:type="default" r:id="rId8"/>
      <w:footerReference w:type="even" r:id="rId9"/>
      <w:footerReference w:type="default" r:id="rId10"/>
      <w:pgSz w:w="12240" w:h="15840"/>
      <w:pgMar w:top="1820" w:right="1440" w:bottom="28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6CFE61" w14:textId="77777777" w:rsidR="00A514C5" w:rsidRDefault="00A514C5">
      <w:r>
        <w:separator/>
      </w:r>
    </w:p>
  </w:endnote>
  <w:endnote w:type="continuationSeparator" w:id="0">
    <w:p w14:paraId="10E25509" w14:textId="77777777" w:rsidR="00A514C5" w:rsidRDefault="00A51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63A2D" w14:textId="77777777" w:rsidR="004D0443" w:rsidRDefault="00DA3067">
    <w:pPr>
      <w:pBdr>
        <w:top w:val="nil"/>
        <w:left w:val="nil"/>
        <w:bottom w:val="nil"/>
        <w:right w:val="nil"/>
        <w:between w:val="nil"/>
      </w:pBdr>
      <w:tabs>
        <w:tab w:val="center" w:pos="4252"/>
        <w:tab w:val="right" w:pos="8504"/>
      </w:tabs>
      <w:jc w:val="right"/>
      <w:rPr>
        <w:color w:val="000000"/>
      </w:rPr>
    </w:pPr>
    <w:r>
      <w:rPr>
        <w:color w:val="000000"/>
      </w:rPr>
      <w:fldChar w:fldCharType="begin"/>
    </w:r>
    <w:r>
      <w:rPr>
        <w:color w:val="000000"/>
      </w:rPr>
      <w:instrText>PAGE</w:instrText>
    </w:r>
    <w:r>
      <w:rPr>
        <w:color w:val="000000"/>
      </w:rPr>
      <w:fldChar w:fldCharType="end"/>
    </w:r>
  </w:p>
  <w:p w14:paraId="1CE63A2E" w14:textId="77777777" w:rsidR="004D0443" w:rsidRDefault="004D0443">
    <w:pPr>
      <w:pBdr>
        <w:top w:val="nil"/>
        <w:left w:val="nil"/>
        <w:bottom w:val="nil"/>
        <w:right w:val="nil"/>
        <w:between w:val="nil"/>
      </w:pBdr>
      <w:tabs>
        <w:tab w:val="center" w:pos="4252"/>
        <w:tab w:val="right" w:pos="8504"/>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63A2F" w14:textId="77777777" w:rsidR="004D0443" w:rsidRDefault="004D0443">
    <w:pPr>
      <w:pBdr>
        <w:top w:val="nil"/>
        <w:left w:val="nil"/>
        <w:bottom w:val="nil"/>
        <w:right w:val="nil"/>
        <w:between w:val="nil"/>
      </w:pBdr>
      <w:tabs>
        <w:tab w:val="center" w:pos="4252"/>
        <w:tab w:val="right" w:pos="8504"/>
      </w:tabs>
      <w:jc w:val="center"/>
      <w:rPr>
        <w:color w:val="000000"/>
        <w:sz w:val="18"/>
        <w:szCs w:val="18"/>
      </w:rPr>
    </w:pPr>
  </w:p>
  <w:p w14:paraId="1CE63A30" w14:textId="77777777" w:rsidR="004D0443" w:rsidRDefault="004D0443">
    <w:pPr>
      <w:pBdr>
        <w:top w:val="nil"/>
        <w:left w:val="nil"/>
        <w:bottom w:val="nil"/>
        <w:right w:val="nil"/>
        <w:between w:val="nil"/>
      </w:pBdr>
      <w:tabs>
        <w:tab w:val="center" w:pos="4252"/>
        <w:tab w:val="right" w:pos="8504"/>
      </w:tabs>
      <w:jc w:val="center"/>
      <w:rPr>
        <w:color w:val="000000"/>
        <w:sz w:val="18"/>
        <w:szCs w:val="18"/>
      </w:rPr>
    </w:pPr>
  </w:p>
  <w:p w14:paraId="1CE63A31" w14:textId="77777777" w:rsidR="004D0443" w:rsidRDefault="004D0443">
    <w:pPr>
      <w:pBdr>
        <w:top w:val="nil"/>
        <w:left w:val="nil"/>
        <w:bottom w:val="nil"/>
        <w:right w:val="nil"/>
        <w:between w:val="nil"/>
      </w:pBdr>
      <w:tabs>
        <w:tab w:val="center" w:pos="4252"/>
        <w:tab w:val="right" w:pos="8504"/>
      </w:tabs>
      <w:jc w:val="center"/>
      <w:rPr>
        <w:color w:val="000000"/>
        <w:sz w:val="16"/>
        <w:szCs w:val="16"/>
      </w:rPr>
    </w:pPr>
  </w:p>
  <w:p w14:paraId="1CE63A32" w14:textId="77777777" w:rsidR="004D0443" w:rsidRDefault="004D0443">
    <w:pPr>
      <w:pBdr>
        <w:top w:val="nil"/>
        <w:left w:val="nil"/>
        <w:bottom w:val="nil"/>
        <w:right w:val="nil"/>
        <w:between w:val="nil"/>
      </w:pBdr>
      <w:tabs>
        <w:tab w:val="center" w:pos="4252"/>
        <w:tab w:val="right" w:pos="8504"/>
      </w:tabs>
      <w:rPr>
        <w:color w:val="000000"/>
        <w:sz w:val="16"/>
        <w:szCs w:val="16"/>
      </w:rPr>
    </w:pPr>
  </w:p>
  <w:p w14:paraId="1CE63A33" w14:textId="77777777" w:rsidR="004D0443" w:rsidRDefault="004D0443">
    <w:pPr>
      <w:pBdr>
        <w:top w:val="nil"/>
        <w:left w:val="nil"/>
        <w:bottom w:val="nil"/>
        <w:right w:val="nil"/>
        <w:between w:val="nil"/>
      </w:pBdr>
      <w:tabs>
        <w:tab w:val="center" w:pos="4252"/>
        <w:tab w:val="right" w:pos="8504"/>
      </w:tabs>
      <w:rPr>
        <w:color w:val="000000"/>
        <w:sz w:val="16"/>
        <w:szCs w:val="16"/>
      </w:rPr>
    </w:pPr>
  </w:p>
  <w:p w14:paraId="1CE63A34" w14:textId="77777777" w:rsidR="004D0443" w:rsidRDefault="004D0443">
    <w:pPr>
      <w:jc w:val="right"/>
      <w:rPr>
        <w:b/>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90FBD0" w14:textId="77777777" w:rsidR="00A514C5" w:rsidRDefault="00A514C5">
      <w:r>
        <w:separator/>
      </w:r>
    </w:p>
  </w:footnote>
  <w:footnote w:type="continuationSeparator" w:id="0">
    <w:p w14:paraId="14CA16CC" w14:textId="77777777" w:rsidR="00A514C5" w:rsidRDefault="00A514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63A1F" w14:textId="77777777" w:rsidR="004D0443" w:rsidRDefault="004D0443">
    <w:pPr>
      <w:widowControl w:val="0"/>
      <w:pBdr>
        <w:top w:val="nil"/>
        <w:left w:val="nil"/>
        <w:bottom w:val="nil"/>
        <w:right w:val="nil"/>
        <w:between w:val="nil"/>
      </w:pBdr>
      <w:spacing w:line="276" w:lineRule="auto"/>
      <w:rPr>
        <w:rFonts w:ascii="Bookman Old Style" w:eastAsia="Bookman Old Style" w:hAnsi="Bookman Old Style" w:cs="Bookman Old Style"/>
        <w:sz w:val="20"/>
        <w:szCs w:val="20"/>
      </w:rPr>
    </w:pPr>
  </w:p>
  <w:tbl>
    <w:tblPr>
      <w:tblStyle w:val="aff4"/>
      <w:tblW w:w="883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61"/>
      <w:gridCol w:w="4235"/>
      <w:gridCol w:w="2234"/>
    </w:tblGrid>
    <w:tr w:rsidR="004D0443" w14:paraId="1CE63A23" w14:textId="77777777">
      <w:trPr>
        <w:trHeight w:val="454"/>
      </w:trPr>
      <w:tc>
        <w:tcPr>
          <w:tcW w:w="2361" w:type="dxa"/>
          <w:vMerge w:val="restart"/>
          <w:vAlign w:val="center"/>
        </w:tcPr>
        <w:p w14:paraId="1CE63A20" w14:textId="77777777" w:rsidR="004D0443" w:rsidRDefault="00DA3067">
          <w:pPr>
            <w:jc w:val="center"/>
            <w:rPr>
              <w:sz w:val="16"/>
              <w:szCs w:val="16"/>
            </w:rPr>
          </w:pPr>
          <w:r>
            <w:rPr>
              <w:noProof/>
              <w:sz w:val="16"/>
              <w:szCs w:val="16"/>
              <w:lang w:val="es-CO"/>
            </w:rPr>
            <w:drawing>
              <wp:inline distT="0" distB="0" distL="0" distR="0" wp14:anchorId="1CE63A35" wp14:editId="1CE63A36">
                <wp:extent cx="749935" cy="883920"/>
                <wp:effectExtent l="0" t="0" r="0" b="0"/>
                <wp:docPr id="152" name="image20.png"/>
                <wp:cNvGraphicFramePr/>
                <a:graphic xmlns:a="http://schemas.openxmlformats.org/drawingml/2006/main">
                  <a:graphicData uri="http://schemas.openxmlformats.org/drawingml/2006/picture">
                    <pic:pic xmlns:pic="http://schemas.openxmlformats.org/drawingml/2006/picture">
                      <pic:nvPicPr>
                        <pic:cNvPr id="0" name="image20.png"/>
                        <pic:cNvPicPr preferRelativeResize="0"/>
                      </pic:nvPicPr>
                      <pic:blipFill>
                        <a:blip r:embed="rId1"/>
                        <a:srcRect/>
                        <a:stretch>
                          <a:fillRect/>
                        </a:stretch>
                      </pic:blipFill>
                      <pic:spPr>
                        <a:xfrm>
                          <a:off x="0" y="0"/>
                          <a:ext cx="749935" cy="883920"/>
                        </a:xfrm>
                        <a:prstGeom prst="rect">
                          <a:avLst/>
                        </a:prstGeom>
                        <a:ln/>
                      </pic:spPr>
                    </pic:pic>
                  </a:graphicData>
                </a:graphic>
              </wp:inline>
            </w:drawing>
          </w:r>
        </w:p>
      </w:tc>
      <w:tc>
        <w:tcPr>
          <w:tcW w:w="4235" w:type="dxa"/>
          <w:vAlign w:val="center"/>
        </w:tcPr>
        <w:p w14:paraId="1CE63A21" w14:textId="77777777" w:rsidR="004D0443" w:rsidRDefault="00DA3067">
          <w:pPr>
            <w:jc w:val="center"/>
            <w:rPr>
              <w:sz w:val="18"/>
              <w:szCs w:val="18"/>
            </w:rPr>
          </w:pPr>
          <w:r>
            <w:rPr>
              <w:sz w:val="18"/>
              <w:szCs w:val="18"/>
            </w:rPr>
            <w:t>PROCESO GESTIÓN NORMATIVA</w:t>
          </w:r>
        </w:p>
      </w:tc>
      <w:tc>
        <w:tcPr>
          <w:tcW w:w="2234" w:type="dxa"/>
          <w:vAlign w:val="center"/>
        </w:tcPr>
        <w:p w14:paraId="1CE63A22" w14:textId="77777777" w:rsidR="004D0443" w:rsidRDefault="00DA3067">
          <w:pPr>
            <w:rPr>
              <w:sz w:val="16"/>
              <w:szCs w:val="16"/>
            </w:rPr>
          </w:pPr>
          <w:r>
            <w:rPr>
              <w:sz w:val="16"/>
              <w:szCs w:val="16"/>
            </w:rPr>
            <w:t>CÓDIGO</w:t>
          </w:r>
          <w:r>
            <w:rPr>
              <w:color w:val="3366FF"/>
              <w:sz w:val="16"/>
              <w:szCs w:val="16"/>
            </w:rPr>
            <w:t xml:space="preserve">: </w:t>
          </w:r>
          <w:r>
            <w:rPr>
              <w:sz w:val="16"/>
              <w:szCs w:val="16"/>
            </w:rPr>
            <w:t>GNV-FO-001</w:t>
          </w:r>
        </w:p>
      </w:tc>
    </w:tr>
    <w:tr w:rsidR="004D0443" w14:paraId="1CE63A27" w14:textId="77777777">
      <w:trPr>
        <w:trHeight w:val="454"/>
      </w:trPr>
      <w:tc>
        <w:tcPr>
          <w:tcW w:w="2361" w:type="dxa"/>
          <w:vMerge/>
          <w:vAlign w:val="center"/>
        </w:tcPr>
        <w:p w14:paraId="1CE63A24" w14:textId="77777777" w:rsidR="004D0443" w:rsidRDefault="004D0443">
          <w:pPr>
            <w:widowControl w:val="0"/>
            <w:pBdr>
              <w:top w:val="nil"/>
              <w:left w:val="nil"/>
              <w:bottom w:val="nil"/>
              <w:right w:val="nil"/>
              <w:between w:val="nil"/>
            </w:pBdr>
            <w:spacing w:line="276" w:lineRule="auto"/>
            <w:rPr>
              <w:sz w:val="16"/>
              <w:szCs w:val="16"/>
            </w:rPr>
          </w:pPr>
        </w:p>
      </w:tc>
      <w:tc>
        <w:tcPr>
          <w:tcW w:w="4235" w:type="dxa"/>
          <w:vMerge w:val="restart"/>
          <w:vAlign w:val="center"/>
        </w:tcPr>
        <w:p w14:paraId="1CE63A25" w14:textId="77777777" w:rsidR="004D0443" w:rsidRDefault="00DA3067">
          <w:pPr>
            <w:jc w:val="center"/>
            <w:rPr>
              <w:sz w:val="20"/>
              <w:szCs w:val="20"/>
            </w:rPr>
          </w:pPr>
          <w:r>
            <w:rPr>
              <w:sz w:val="20"/>
              <w:szCs w:val="20"/>
            </w:rPr>
            <w:t>PRESENTACIÓN PROYECTOS DE ACUERDO</w:t>
          </w:r>
        </w:p>
      </w:tc>
      <w:tc>
        <w:tcPr>
          <w:tcW w:w="2234" w:type="dxa"/>
          <w:vAlign w:val="center"/>
        </w:tcPr>
        <w:p w14:paraId="1CE63A26" w14:textId="77777777" w:rsidR="004D0443" w:rsidRDefault="00DA3067">
          <w:pPr>
            <w:rPr>
              <w:sz w:val="16"/>
              <w:szCs w:val="16"/>
            </w:rPr>
          </w:pPr>
          <w:r>
            <w:rPr>
              <w:sz w:val="16"/>
              <w:szCs w:val="16"/>
            </w:rPr>
            <w:t>VERSIÓN:    02</w:t>
          </w:r>
        </w:p>
      </w:tc>
    </w:tr>
    <w:tr w:rsidR="004D0443" w14:paraId="1CE63A2B" w14:textId="77777777">
      <w:trPr>
        <w:trHeight w:val="454"/>
      </w:trPr>
      <w:tc>
        <w:tcPr>
          <w:tcW w:w="2361" w:type="dxa"/>
          <w:vMerge/>
          <w:vAlign w:val="center"/>
        </w:tcPr>
        <w:p w14:paraId="1CE63A28" w14:textId="77777777" w:rsidR="004D0443" w:rsidRDefault="004D0443">
          <w:pPr>
            <w:widowControl w:val="0"/>
            <w:pBdr>
              <w:top w:val="nil"/>
              <w:left w:val="nil"/>
              <w:bottom w:val="nil"/>
              <w:right w:val="nil"/>
              <w:between w:val="nil"/>
            </w:pBdr>
            <w:spacing w:line="276" w:lineRule="auto"/>
            <w:rPr>
              <w:sz w:val="16"/>
              <w:szCs w:val="16"/>
            </w:rPr>
          </w:pPr>
        </w:p>
      </w:tc>
      <w:tc>
        <w:tcPr>
          <w:tcW w:w="4235" w:type="dxa"/>
          <w:vMerge/>
          <w:vAlign w:val="center"/>
        </w:tcPr>
        <w:p w14:paraId="1CE63A29" w14:textId="77777777" w:rsidR="004D0443" w:rsidRDefault="004D0443">
          <w:pPr>
            <w:widowControl w:val="0"/>
            <w:pBdr>
              <w:top w:val="nil"/>
              <w:left w:val="nil"/>
              <w:bottom w:val="nil"/>
              <w:right w:val="nil"/>
              <w:between w:val="nil"/>
            </w:pBdr>
            <w:spacing w:line="276" w:lineRule="auto"/>
            <w:rPr>
              <w:sz w:val="16"/>
              <w:szCs w:val="16"/>
            </w:rPr>
          </w:pPr>
        </w:p>
      </w:tc>
      <w:tc>
        <w:tcPr>
          <w:tcW w:w="2234" w:type="dxa"/>
          <w:vAlign w:val="center"/>
        </w:tcPr>
        <w:p w14:paraId="1CE63A2A" w14:textId="77777777" w:rsidR="004D0443" w:rsidRDefault="00DA3067">
          <w:pPr>
            <w:rPr>
              <w:sz w:val="16"/>
              <w:szCs w:val="16"/>
            </w:rPr>
          </w:pPr>
          <w:r>
            <w:rPr>
              <w:sz w:val="16"/>
              <w:szCs w:val="16"/>
            </w:rPr>
            <w:t>FECHA: 14-Nov-2019</w:t>
          </w:r>
        </w:p>
      </w:tc>
    </w:tr>
  </w:tbl>
  <w:p w14:paraId="1CE63A2C" w14:textId="77777777" w:rsidR="004D0443" w:rsidRDefault="004D0443">
    <w:pPr>
      <w:pBdr>
        <w:top w:val="nil"/>
        <w:left w:val="nil"/>
        <w:bottom w:val="nil"/>
        <w:right w:val="nil"/>
        <w:between w:val="nil"/>
      </w:pBdr>
      <w:tabs>
        <w:tab w:val="center" w:pos="4252"/>
        <w:tab w:val="right" w:pos="850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F059F5"/>
    <w:multiLevelType w:val="multilevel"/>
    <w:tmpl w:val="AD202CA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3B2530D6"/>
    <w:multiLevelType w:val="multilevel"/>
    <w:tmpl w:val="5BE023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3EE341DA"/>
    <w:multiLevelType w:val="hybridMultilevel"/>
    <w:tmpl w:val="2CC02CFA"/>
    <w:lvl w:ilvl="0" w:tplc="BB564FB8">
      <w:start w:val="1"/>
      <w:numFmt w:val="upperLetter"/>
      <w:lvlText w:val="%1."/>
      <w:lvlJc w:val="left"/>
      <w:pPr>
        <w:ind w:left="978" w:hanging="361"/>
      </w:pPr>
      <w:rPr>
        <w:rFonts w:ascii="Times New Roman" w:eastAsia="Times New Roman" w:hAnsi="Times New Roman" w:cs="Times New Roman" w:hint="default"/>
        <w:b w:val="0"/>
        <w:bCs w:val="0"/>
        <w:i w:val="0"/>
        <w:iCs w:val="0"/>
        <w:spacing w:val="0"/>
        <w:w w:val="102"/>
        <w:sz w:val="22"/>
        <w:szCs w:val="22"/>
        <w:lang w:val="es-ES" w:eastAsia="en-US" w:bidi="ar-SA"/>
      </w:rPr>
    </w:lvl>
    <w:lvl w:ilvl="1" w:tplc="C5AE4E38">
      <w:numFmt w:val="bullet"/>
      <w:lvlText w:val="•"/>
      <w:lvlJc w:val="left"/>
      <w:pPr>
        <w:ind w:left="1818" w:hanging="361"/>
      </w:pPr>
      <w:rPr>
        <w:rFonts w:hint="default"/>
        <w:lang w:val="es-ES" w:eastAsia="en-US" w:bidi="ar-SA"/>
      </w:rPr>
    </w:lvl>
    <w:lvl w:ilvl="2" w:tplc="384C4866">
      <w:numFmt w:val="bullet"/>
      <w:lvlText w:val="•"/>
      <w:lvlJc w:val="left"/>
      <w:pPr>
        <w:ind w:left="2656" w:hanging="361"/>
      </w:pPr>
      <w:rPr>
        <w:rFonts w:hint="default"/>
        <w:lang w:val="es-ES" w:eastAsia="en-US" w:bidi="ar-SA"/>
      </w:rPr>
    </w:lvl>
    <w:lvl w:ilvl="3" w:tplc="BED8F58A">
      <w:numFmt w:val="bullet"/>
      <w:lvlText w:val="•"/>
      <w:lvlJc w:val="left"/>
      <w:pPr>
        <w:ind w:left="3494" w:hanging="361"/>
      </w:pPr>
      <w:rPr>
        <w:rFonts w:hint="default"/>
        <w:lang w:val="es-ES" w:eastAsia="en-US" w:bidi="ar-SA"/>
      </w:rPr>
    </w:lvl>
    <w:lvl w:ilvl="4" w:tplc="69763BBE">
      <w:numFmt w:val="bullet"/>
      <w:lvlText w:val="•"/>
      <w:lvlJc w:val="left"/>
      <w:pPr>
        <w:ind w:left="4332" w:hanging="361"/>
      </w:pPr>
      <w:rPr>
        <w:rFonts w:hint="default"/>
        <w:lang w:val="es-ES" w:eastAsia="en-US" w:bidi="ar-SA"/>
      </w:rPr>
    </w:lvl>
    <w:lvl w:ilvl="5" w:tplc="7630AA76">
      <w:numFmt w:val="bullet"/>
      <w:lvlText w:val="•"/>
      <w:lvlJc w:val="left"/>
      <w:pPr>
        <w:ind w:left="5170" w:hanging="361"/>
      </w:pPr>
      <w:rPr>
        <w:rFonts w:hint="default"/>
        <w:lang w:val="es-ES" w:eastAsia="en-US" w:bidi="ar-SA"/>
      </w:rPr>
    </w:lvl>
    <w:lvl w:ilvl="6" w:tplc="1DC09A94">
      <w:numFmt w:val="bullet"/>
      <w:lvlText w:val="•"/>
      <w:lvlJc w:val="left"/>
      <w:pPr>
        <w:ind w:left="6008" w:hanging="361"/>
      </w:pPr>
      <w:rPr>
        <w:rFonts w:hint="default"/>
        <w:lang w:val="es-ES" w:eastAsia="en-US" w:bidi="ar-SA"/>
      </w:rPr>
    </w:lvl>
    <w:lvl w:ilvl="7" w:tplc="C658CE04">
      <w:numFmt w:val="bullet"/>
      <w:lvlText w:val="•"/>
      <w:lvlJc w:val="left"/>
      <w:pPr>
        <w:ind w:left="6846" w:hanging="361"/>
      </w:pPr>
      <w:rPr>
        <w:rFonts w:hint="default"/>
        <w:lang w:val="es-ES" w:eastAsia="en-US" w:bidi="ar-SA"/>
      </w:rPr>
    </w:lvl>
    <w:lvl w:ilvl="8" w:tplc="E5FEDF1E">
      <w:numFmt w:val="bullet"/>
      <w:lvlText w:val="•"/>
      <w:lvlJc w:val="left"/>
      <w:pPr>
        <w:ind w:left="7684" w:hanging="361"/>
      </w:pPr>
      <w:rPr>
        <w:rFonts w:hint="default"/>
        <w:lang w:val="es-ES" w:eastAsia="en-US" w:bidi="ar-SA"/>
      </w:rPr>
    </w:lvl>
  </w:abstractNum>
  <w:abstractNum w:abstractNumId="3" w15:restartNumberingAfterBreak="0">
    <w:nsid w:val="46F3240F"/>
    <w:multiLevelType w:val="multilevel"/>
    <w:tmpl w:val="38A0CC2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6411208E"/>
    <w:multiLevelType w:val="hybridMultilevel"/>
    <w:tmpl w:val="508A1F14"/>
    <w:lvl w:ilvl="0" w:tplc="8E3E511C">
      <w:start w:val="1"/>
      <w:numFmt w:val="upperLetter"/>
      <w:lvlText w:val="%1."/>
      <w:lvlJc w:val="left"/>
      <w:pPr>
        <w:ind w:left="978" w:hanging="361"/>
      </w:pPr>
      <w:rPr>
        <w:rFonts w:ascii="Times New Roman" w:eastAsia="Times New Roman" w:hAnsi="Times New Roman" w:cs="Times New Roman" w:hint="default"/>
        <w:b w:val="0"/>
        <w:bCs w:val="0"/>
        <w:i w:val="0"/>
        <w:iCs w:val="0"/>
        <w:spacing w:val="0"/>
        <w:w w:val="102"/>
        <w:sz w:val="22"/>
        <w:szCs w:val="22"/>
        <w:lang w:val="es-ES" w:eastAsia="en-US" w:bidi="ar-SA"/>
      </w:rPr>
    </w:lvl>
    <w:lvl w:ilvl="1" w:tplc="2C5E767C">
      <w:numFmt w:val="bullet"/>
      <w:lvlText w:val="•"/>
      <w:lvlJc w:val="left"/>
      <w:pPr>
        <w:ind w:left="1818" w:hanging="361"/>
      </w:pPr>
      <w:rPr>
        <w:rFonts w:hint="default"/>
        <w:lang w:val="es-ES" w:eastAsia="en-US" w:bidi="ar-SA"/>
      </w:rPr>
    </w:lvl>
    <w:lvl w:ilvl="2" w:tplc="D37CF61A">
      <w:numFmt w:val="bullet"/>
      <w:lvlText w:val="•"/>
      <w:lvlJc w:val="left"/>
      <w:pPr>
        <w:ind w:left="2656" w:hanging="361"/>
      </w:pPr>
      <w:rPr>
        <w:rFonts w:hint="default"/>
        <w:lang w:val="es-ES" w:eastAsia="en-US" w:bidi="ar-SA"/>
      </w:rPr>
    </w:lvl>
    <w:lvl w:ilvl="3" w:tplc="F45AA688">
      <w:numFmt w:val="bullet"/>
      <w:lvlText w:val="•"/>
      <w:lvlJc w:val="left"/>
      <w:pPr>
        <w:ind w:left="3494" w:hanging="361"/>
      </w:pPr>
      <w:rPr>
        <w:rFonts w:hint="default"/>
        <w:lang w:val="es-ES" w:eastAsia="en-US" w:bidi="ar-SA"/>
      </w:rPr>
    </w:lvl>
    <w:lvl w:ilvl="4" w:tplc="20DE55CA">
      <w:numFmt w:val="bullet"/>
      <w:lvlText w:val="•"/>
      <w:lvlJc w:val="left"/>
      <w:pPr>
        <w:ind w:left="4332" w:hanging="361"/>
      </w:pPr>
      <w:rPr>
        <w:rFonts w:hint="default"/>
        <w:lang w:val="es-ES" w:eastAsia="en-US" w:bidi="ar-SA"/>
      </w:rPr>
    </w:lvl>
    <w:lvl w:ilvl="5" w:tplc="900EFDA0">
      <w:numFmt w:val="bullet"/>
      <w:lvlText w:val="•"/>
      <w:lvlJc w:val="left"/>
      <w:pPr>
        <w:ind w:left="5170" w:hanging="361"/>
      </w:pPr>
      <w:rPr>
        <w:rFonts w:hint="default"/>
        <w:lang w:val="es-ES" w:eastAsia="en-US" w:bidi="ar-SA"/>
      </w:rPr>
    </w:lvl>
    <w:lvl w:ilvl="6" w:tplc="87F2DE70">
      <w:numFmt w:val="bullet"/>
      <w:lvlText w:val="•"/>
      <w:lvlJc w:val="left"/>
      <w:pPr>
        <w:ind w:left="6008" w:hanging="361"/>
      </w:pPr>
      <w:rPr>
        <w:rFonts w:hint="default"/>
        <w:lang w:val="es-ES" w:eastAsia="en-US" w:bidi="ar-SA"/>
      </w:rPr>
    </w:lvl>
    <w:lvl w:ilvl="7" w:tplc="2E909536">
      <w:numFmt w:val="bullet"/>
      <w:lvlText w:val="•"/>
      <w:lvlJc w:val="left"/>
      <w:pPr>
        <w:ind w:left="6846" w:hanging="361"/>
      </w:pPr>
      <w:rPr>
        <w:rFonts w:hint="default"/>
        <w:lang w:val="es-ES" w:eastAsia="en-US" w:bidi="ar-SA"/>
      </w:rPr>
    </w:lvl>
    <w:lvl w:ilvl="8" w:tplc="D5C0DEEC">
      <w:numFmt w:val="bullet"/>
      <w:lvlText w:val="•"/>
      <w:lvlJc w:val="left"/>
      <w:pPr>
        <w:ind w:left="7684" w:hanging="361"/>
      </w:pPr>
      <w:rPr>
        <w:rFonts w:hint="default"/>
        <w:lang w:val="es-ES" w:eastAsia="en-US" w:bidi="ar-SA"/>
      </w:rPr>
    </w:lvl>
  </w:abstractNum>
  <w:abstractNum w:abstractNumId="5" w15:restartNumberingAfterBreak="0">
    <w:nsid w:val="6CCB6DB1"/>
    <w:multiLevelType w:val="hybridMultilevel"/>
    <w:tmpl w:val="67B027D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443"/>
    <w:rsid w:val="000414C1"/>
    <w:rsid w:val="0009008E"/>
    <w:rsid w:val="000E63D8"/>
    <w:rsid w:val="002C438C"/>
    <w:rsid w:val="00383157"/>
    <w:rsid w:val="003D176C"/>
    <w:rsid w:val="003E1864"/>
    <w:rsid w:val="004021AA"/>
    <w:rsid w:val="004A29ED"/>
    <w:rsid w:val="004B7125"/>
    <w:rsid w:val="004D0443"/>
    <w:rsid w:val="005D1EBD"/>
    <w:rsid w:val="006321D3"/>
    <w:rsid w:val="00635C07"/>
    <w:rsid w:val="007333AA"/>
    <w:rsid w:val="00795DEE"/>
    <w:rsid w:val="008723BD"/>
    <w:rsid w:val="008D20E0"/>
    <w:rsid w:val="008F49A1"/>
    <w:rsid w:val="009851AA"/>
    <w:rsid w:val="009C472A"/>
    <w:rsid w:val="009D54BD"/>
    <w:rsid w:val="00A514C5"/>
    <w:rsid w:val="00A765E5"/>
    <w:rsid w:val="00AB591A"/>
    <w:rsid w:val="00AB5DE9"/>
    <w:rsid w:val="00AE012B"/>
    <w:rsid w:val="00AF6941"/>
    <w:rsid w:val="00B02928"/>
    <w:rsid w:val="00B21F7F"/>
    <w:rsid w:val="00C6503D"/>
    <w:rsid w:val="00C95019"/>
    <w:rsid w:val="00D40900"/>
    <w:rsid w:val="00D60025"/>
    <w:rsid w:val="00D6679F"/>
    <w:rsid w:val="00D94123"/>
    <w:rsid w:val="00DA3067"/>
    <w:rsid w:val="00DE0C0D"/>
    <w:rsid w:val="00E01BF5"/>
    <w:rsid w:val="00E15EED"/>
    <w:rsid w:val="00EB102C"/>
    <w:rsid w:val="00F20154"/>
    <w:rsid w:val="00FC362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637B8"/>
  <w15:docId w15:val="{7C3F68D0-CD3E-4333-9119-E4652098B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4"/>
        <w:szCs w:val="24"/>
        <w:lang w:val="es-ES"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jc w:val="center"/>
      <w:outlineLvl w:val="0"/>
    </w:pPr>
    <w:rPr>
      <w:rFonts w:ascii="Times New Roman" w:eastAsia="Times New Roman" w:hAnsi="Times New Roman" w:cs="Times New Roman"/>
      <w:color w:val="000000"/>
    </w:rPr>
  </w:style>
  <w:style w:type="paragraph" w:styleId="Ttulo2">
    <w:name w:val="heading 2"/>
    <w:basedOn w:val="Normal"/>
    <w:next w:val="Normal"/>
    <w:uiPriority w:val="9"/>
    <w:semiHidden/>
    <w:unhideWhenUsed/>
    <w:qFormat/>
    <w:pPr>
      <w:keepNext/>
      <w:outlineLvl w:val="1"/>
    </w:pPr>
    <w:rPr>
      <w:rFonts w:ascii="Times New Roman" w:eastAsia="Times New Roman" w:hAnsi="Times New Roman" w:cs="Times New Roman"/>
      <w:color w:val="000000"/>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spacing w:before="240" w:after="60"/>
      <w:outlineLvl w:val="3"/>
    </w:pPr>
    <w:rPr>
      <w:rFonts w:ascii="Times New Roman" w:eastAsia="Times New Roman" w:hAnsi="Times New Roman" w:cs="Times New Roman"/>
      <w:b/>
      <w:color w:val="000000"/>
      <w:sz w:val="28"/>
      <w:szCs w:val="28"/>
    </w:rPr>
  </w:style>
  <w:style w:type="paragraph" w:styleId="Ttulo5">
    <w:name w:val="heading 5"/>
    <w:basedOn w:val="Normal"/>
    <w:next w:val="Normal"/>
    <w:uiPriority w:val="9"/>
    <w:semiHidden/>
    <w:unhideWhenUsed/>
    <w:qFormat/>
    <w:pPr>
      <w:keepNext/>
      <w:keepLines/>
      <w:spacing w:before="200"/>
      <w:outlineLvl w:val="4"/>
    </w:pPr>
    <w:rPr>
      <w:rFonts w:ascii="Cambria" w:eastAsia="Cambria" w:hAnsi="Cambria" w:cs="Cambria"/>
      <w:color w:val="243F60"/>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table" w:customStyle="1" w:styleId="TableNormal7">
    <w:name w:val="Table Normal"/>
    <w:tblPr>
      <w:tblCellMar>
        <w:top w:w="0" w:type="dxa"/>
        <w:left w:w="0" w:type="dxa"/>
        <w:bottom w:w="0" w:type="dxa"/>
        <w:right w:w="0" w:type="dxa"/>
      </w:tblCellMar>
    </w:tblPr>
  </w:style>
  <w:style w:type="table" w:customStyle="1" w:styleId="TableNormal8">
    <w:name w:val="Table Normal"/>
    <w:tblPr>
      <w:tblCellMar>
        <w:top w:w="0" w:type="dxa"/>
        <w:left w:w="0" w:type="dxa"/>
        <w:bottom w:w="0" w:type="dxa"/>
        <w:right w:w="0" w:type="dxa"/>
      </w:tblCellMar>
    </w:tblPr>
  </w:style>
  <w:style w:type="table" w:customStyle="1" w:styleId="TableNormal9">
    <w:name w:val="Table Normal"/>
    <w:tblPr>
      <w:tblCellMar>
        <w:top w:w="0" w:type="dxa"/>
        <w:left w:w="0" w:type="dxa"/>
        <w:bottom w:w="0" w:type="dxa"/>
        <w:right w:w="0" w:type="dxa"/>
      </w:tblCellMar>
    </w:tblPr>
  </w:style>
  <w:style w:type="table" w:customStyle="1" w:styleId="TableNormala">
    <w:name w:val="Table Normal"/>
    <w:tblPr>
      <w:tblCellMar>
        <w:top w:w="0" w:type="dxa"/>
        <w:left w:w="0" w:type="dxa"/>
        <w:bottom w:w="0" w:type="dxa"/>
        <w:right w:w="0" w:type="dxa"/>
      </w:tblCellMar>
    </w:tblPr>
  </w:style>
  <w:style w:type="table" w:customStyle="1" w:styleId="TableNormalb">
    <w:name w:val="Table Normal"/>
    <w:tblPr>
      <w:tblCellMar>
        <w:top w:w="0" w:type="dxa"/>
        <w:left w:w="0" w:type="dxa"/>
        <w:bottom w:w="0" w:type="dxa"/>
        <w:right w:w="0" w:type="dxa"/>
      </w:tblCellMar>
    </w:tblPr>
  </w:style>
  <w:style w:type="table" w:customStyle="1" w:styleId="TableNormalc">
    <w:name w:val="Table Normal"/>
    <w:tblPr>
      <w:tblCellMar>
        <w:top w:w="0" w:type="dxa"/>
        <w:left w:w="0" w:type="dxa"/>
        <w:bottom w:w="0" w:type="dxa"/>
        <w:right w:w="0" w:type="dxa"/>
      </w:tblCellMar>
    </w:tblPr>
  </w:style>
  <w:style w:type="table" w:customStyle="1" w:styleId="TableNormald">
    <w:name w:val="Table Normal"/>
    <w:tblPr>
      <w:tblCellMar>
        <w:top w:w="0" w:type="dxa"/>
        <w:left w:w="0" w:type="dxa"/>
        <w:bottom w:w="0" w:type="dxa"/>
        <w:right w:w="0" w:type="dxa"/>
      </w:tblCellMar>
    </w:tbl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d"/>
    <w:tblPr>
      <w:tblStyleRowBandSize w:val="1"/>
      <w:tblStyleColBandSize w:val="1"/>
      <w:tblCellMar>
        <w:left w:w="70" w:type="dxa"/>
        <w:right w:w="70" w:type="dxa"/>
      </w:tblCellMar>
    </w:tblPr>
  </w:style>
  <w:style w:type="paragraph" w:styleId="Textocomentario">
    <w:name w:val="annotation text"/>
    <w:basedOn w:val="Normal"/>
    <w:link w:val="TextocomentarioCar"/>
    <w:uiPriority w:val="99"/>
    <w:semiHidden/>
    <w:unhideWhenUsed/>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957344"/>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57344"/>
    <w:rPr>
      <w:rFonts w:ascii="Segoe UI" w:hAnsi="Segoe UI" w:cs="Segoe UI"/>
      <w:sz w:val="18"/>
      <w:szCs w:val="18"/>
    </w:rPr>
  </w:style>
  <w:style w:type="paragraph" w:styleId="Revisin">
    <w:name w:val="Revision"/>
    <w:hidden/>
    <w:uiPriority w:val="99"/>
    <w:semiHidden/>
    <w:rsid w:val="00957344"/>
  </w:style>
  <w:style w:type="paragraph" w:styleId="Encabezado">
    <w:name w:val="header"/>
    <w:basedOn w:val="Normal"/>
    <w:link w:val="EncabezadoCar"/>
    <w:uiPriority w:val="99"/>
    <w:unhideWhenUsed/>
    <w:rsid w:val="005240A3"/>
    <w:pPr>
      <w:tabs>
        <w:tab w:val="center" w:pos="4419"/>
        <w:tab w:val="right" w:pos="8838"/>
      </w:tabs>
    </w:pPr>
  </w:style>
  <w:style w:type="character" w:customStyle="1" w:styleId="EncabezadoCar">
    <w:name w:val="Encabezado Car"/>
    <w:basedOn w:val="Fuentedeprrafopredeter"/>
    <w:link w:val="Encabezado"/>
    <w:uiPriority w:val="99"/>
    <w:rsid w:val="005240A3"/>
  </w:style>
  <w:style w:type="paragraph" w:styleId="Piedepgina">
    <w:name w:val="footer"/>
    <w:basedOn w:val="Normal"/>
    <w:link w:val="PiedepginaCar"/>
    <w:uiPriority w:val="99"/>
    <w:unhideWhenUsed/>
    <w:rsid w:val="005240A3"/>
    <w:pPr>
      <w:tabs>
        <w:tab w:val="center" w:pos="4419"/>
        <w:tab w:val="right" w:pos="8838"/>
      </w:tabs>
    </w:pPr>
  </w:style>
  <w:style w:type="character" w:customStyle="1" w:styleId="PiedepginaCar">
    <w:name w:val="Pie de página Car"/>
    <w:basedOn w:val="Fuentedeprrafopredeter"/>
    <w:link w:val="Piedepgina"/>
    <w:uiPriority w:val="99"/>
    <w:rsid w:val="005240A3"/>
  </w:style>
  <w:style w:type="table" w:customStyle="1" w:styleId="a0">
    <w:basedOn w:val="TableNormald"/>
    <w:tblPr>
      <w:tblStyleRowBandSize w:val="1"/>
      <w:tblStyleColBandSize w:val="1"/>
      <w:tblCellMar>
        <w:left w:w="70" w:type="dxa"/>
        <w:right w:w="70" w:type="dxa"/>
      </w:tblCellMar>
    </w:tblPr>
  </w:style>
  <w:style w:type="table" w:customStyle="1" w:styleId="a1">
    <w:basedOn w:val="TableNormald"/>
    <w:tblPr>
      <w:tblStyleRowBandSize w:val="1"/>
      <w:tblStyleColBandSize w:val="1"/>
      <w:tblCellMar>
        <w:left w:w="70" w:type="dxa"/>
        <w:right w:w="70" w:type="dxa"/>
      </w:tblCellMar>
    </w:tblPr>
  </w:style>
  <w:style w:type="table" w:customStyle="1" w:styleId="a2">
    <w:basedOn w:val="TableNormald"/>
    <w:tblPr>
      <w:tblStyleRowBandSize w:val="1"/>
      <w:tblStyleColBandSize w:val="1"/>
      <w:tblCellMar>
        <w:top w:w="100" w:type="dxa"/>
        <w:left w:w="100" w:type="dxa"/>
        <w:bottom w:w="100" w:type="dxa"/>
        <w:right w:w="100" w:type="dxa"/>
      </w:tblCellMar>
    </w:tblPr>
  </w:style>
  <w:style w:type="table" w:customStyle="1" w:styleId="a3">
    <w:basedOn w:val="TableNormald"/>
    <w:tblPr>
      <w:tblStyleRowBandSize w:val="1"/>
      <w:tblStyleColBandSize w:val="1"/>
      <w:tblCellMar>
        <w:left w:w="70" w:type="dxa"/>
        <w:right w:w="70" w:type="dxa"/>
      </w:tblCellMar>
    </w:tblPr>
  </w:style>
  <w:style w:type="table" w:customStyle="1" w:styleId="a4">
    <w:basedOn w:val="TableNormald"/>
    <w:tblPr>
      <w:tblStyleRowBandSize w:val="1"/>
      <w:tblStyleColBandSize w:val="1"/>
      <w:tblCellMar>
        <w:left w:w="70" w:type="dxa"/>
        <w:right w:w="70" w:type="dxa"/>
      </w:tblCellMar>
    </w:tblPr>
  </w:style>
  <w:style w:type="table" w:customStyle="1" w:styleId="a5">
    <w:basedOn w:val="TableNormald"/>
    <w:tblPr>
      <w:tblStyleRowBandSize w:val="1"/>
      <w:tblStyleColBandSize w:val="1"/>
      <w:tblCellMar>
        <w:left w:w="70" w:type="dxa"/>
        <w:right w:w="70" w:type="dxa"/>
      </w:tblCellMar>
    </w:tblPr>
  </w:style>
  <w:style w:type="table" w:customStyle="1" w:styleId="a6">
    <w:basedOn w:val="TableNormald"/>
    <w:tblPr>
      <w:tblStyleRowBandSize w:val="1"/>
      <w:tblStyleColBandSize w:val="1"/>
      <w:tblCellMar>
        <w:left w:w="70" w:type="dxa"/>
        <w:right w:w="70" w:type="dxa"/>
      </w:tblCellMar>
    </w:tblPr>
  </w:style>
  <w:style w:type="table" w:customStyle="1" w:styleId="a7">
    <w:basedOn w:val="TableNormald"/>
    <w:tblPr>
      <w:tblStyleRowBandSize w:val="1"/>
      <w:tblStyleColBandSize w:val="1"/>
      <w:tblCellMar>
        <w:top w:w="100" w:type="dxa"/>
        <w:left w:w="100" w:type="dxa"/>
        <w:bottom w:w="100" w:type="dxa"/>
        <w:right w:w="100" w:type="dxa"/>
      </w:tblCellMar>
    </w:tblPr>
  </w:style>
  <w:style w:type="table" w:customStyle="1" w:styleId="a8">
    <w:basedOn w:val="TableNormald"/>
    <w:tblPr>
      <w:tblStyleRowBandSize w:val="1"/>
      <w:tblStyleColBandSize w:val="1"/>
      <w:tblCellMar>
        <w:top w:w="100" w:type="dxa"/>
        <w:left w:w="100" w:type="dxa"/>
        <w:bottom w:w="100" w:type="dxa"/>
        <w:right w:w="100" w:type="dxa"/>
      </w:tblCellMar>
    </w:tblPr>
  </w:style>
  <w:style w:type="table" w:customStyle="1" w:styleId="a9">
    <w:basedOn w:val="TableNormald"/>
    <w:tblPr>
      <w:tblStyleRowBandSize w:val="1"/>
      <w:tblStyleColBandSize w:val="1"/>
      <w:tblCellMar>
        <w:left w:w="70" w:type="dxa"/>
        <w:right w:w="70" w:type="dxa"/>
      </w:tblCellMar>
    </w:tblPr>
  </w:style>
  <w:style w:type="table" w:customStyle="1" w:styleId="aa">
    <w:basedOn w:val="TableNormal6"/>
    <w:tblPr>
      <w:tblStyleRowBandSize w:val="1"/>
      <w:tblStyleColBandSize w:val="1"/>
      <w:tblCellMar>
        <w:top w:w="100" w:type="dxa"/>
        <w:left w:w="100" w:type="dxa"/>
        <w:bottom w:w="100" w:type="dxa"/>
        <w:right w:w="100" w:type="dxa"/>
      </w:tblCellMar>
    </w:tblPr>
  </w:style>
  <w:style w:type="table" w:customStyle="1" w:styleId="ab">
    <w:basedOn w:val="TableNormal6"/>
    <w:tblPr>
      <w:tblStyleRowBandSize w:val="1"/>
      <w:tblStyleColBandSize w:val="1"/>
      <w:tblCellMar>
        <w:top w:w="100" w:type="dxa"/>
        <w:left w:w="70" w:type="dxa"/>
        <w:bottom w:w="100" w:type="dxa"/>
        <w:right w:w="70" w:type="dxa"/>
      </w:tblCellMar>
    </w:tblPr>
  </w:style>
  <w:style w:type="table" w:customStyle="1" w:styleId="ac">
    <w:basedOn w:val="TableNormal6"/>
    <w:tblPr>
      <w:tblStyleRowBandSize w:val="1"/>
      <w:tblStyleColBandSize w:val="1"/>
      <w:tblCellMar>
        <w:top w:w="100" w:type="dxa"/>
        <w:left w:w="70" w:type="dxa"/>
        <w:bottom w:w="100" w:type="dxa"/>
        <w:right w:w="70" w:type="dxa"/>
      </w:tblCellMar>
    </w:tblPr>
  </w:style>
  <w:style w:type="table" w:customStyle="1" w:styleId="ad">
    <w:basedOn w:val="TableNormal6"/>
    <w:tblPr>
      <w:tblStyleRowBandSize w:val="1"/>
      <w:tblStyleColBandSize w:val="1"/>
      <w:tblCellMar>
        <w:top w:w="100" w:type="dxa"/>
        <w:left w:w="100" w:type="dxa"/>
        <w:bottom w:w="100" w:type="dxa"/>
        <w:right w:w="100" w:type="dxa"/>
      </w:tblCellMar>
    </w:tblPr>
  </w:style>
  <w:style w:type="table" w:customStyle="1" w:styleId="ae">
    <w:basedOn w:val="TableNormal6"/>
    <w:tblPr>
      <w:tblStyleRowBandSize w:val="1"/>
      <w:tblStyleColBandSize w:val="1"/>
      <w:tblCellMar>
        <w:top w:w="100" w:type="dxa"/>
        <w:left w:w="100" w:type="dxa"/>
        <w:bottom w:w="100" w:type="dxa"/>
        <w:right w:w="100" w:type="dxa"/>
      </w:tblCellMar>
    </w:tblPr>
  </w:style>
  <w:style w:type="table" w:customStyle="1" w:styleId="af">
    <w:basedOn w:val="TableNormal6"/>
    <w:tblPr>
      <w:tblStyleRowBandSize w:val="1"/>
      <w:tblStyleColBandSize w:val="1"/>
      <w:tblCellMar>
        <w:top w:w="100" w:type="dxa"/>
        <w:left w:w="100" w:type="dxa"/>
        <w:bottom w:w="100" w:type="dxa"/>
        <w:right w:w="100" w:type="dxa"/>
      </w:tblCellMar>
    </w:tblPr>
  </w:style>
  <w:style w:type="table" w:customStyle="1" w:styleId="af0">
    <w:basedOn w:val="TableNormal6"/>
    <w:tblPr>
      <w:tblStyleRowBandSize w:val="1"/>
      <w:tblStyleColBandSize w:val="1"/>
      <w:tblCellMar>
        <w:top w:w="100" w:type="dxa"/>
        <w:left w:w="100" w:type="dxa"/>
        <w:bottom w:w="100" w:type="dxa"/>
        <w:right w:w="100" w:type="dxa"/>
      </w:tblCellMar>
    </w:tblPr>
  </w:style>
  <w:style w:type="table" w:customStyle="1" w:styleId="af1">
    <w:basedOn w:val="TableNormal6"/>
    <w:tblPr>
      <w:tblStyleRowBandSize w:val="1"/>
      <w:tblStyleColBandSize w:val="1"/>
      <w:tblCellMar>
        <w:top w:w="100" w:type="dxa"/>
        <w:left w:w="70" w:type="dxa"/>
        <w:bottom w:w="100" w:type="dxa"/>
        <w:right w:w="70" w:type="dxa"/>
      </w:tblCellMar>
    </w:tblPr>
  </w:style>
  <w:style w:type="table" w:customStyle="1" w:styleId="af2">
    <w:basedOn w:val="TableNormal6"/>
    <w:tblPr>
      <w:tblStyleRowBandSize w:val="1"/>
      <w:tblStyleColBandSize w:val="1"/>
      <w:tblCellMar>
        <w:top w:w="100" w:type="dxa"/>
        <w:left w:w="70" w:type="dxa"/>
        <w:bottom w:w="100" w:type="dxa"/>
        <w:right w:w="70" w:type="dxa"/>
      </w:tblCellMar>
    </w:tblPr>
  </w:style>
  <w:style w:type="table" w:customStyle="1" w:styleId="af3">
    <w:basedOn w:val="TableNormal6"/>
    <w:tblPr>
      <w:tblStyleRowBandSize w:val="1"/>
      <w:tblStyleColBandSize w:val="1"/>
      <w:tblCellMar>
        <w:top w:w="100" w:type="dxa"/>
        <w:left w:w="100" w:type="dxa"/>
        <w:bottom w:w="100" w:type="dxa"/>
        <w:right w:w="100" w:type="dxa"/>
      </w:tblCellMar>
    </w:tblPr>
  </w:style>
  <w:style w:type="table" w:customStyle="1" w:styleId="af4">
    <w:basedOn w:val="TableNormal6"/>
    <w:tblPr>
      <w:tblStyleRowBandSize w:val="1"/>
      <w:tblStyleColBandSize w:val="1"/>
      <w:tblCellMar>
        <w:top w:w="100" w:type="dxa"/>
        <w:left w:w="100" w:type="dxa"/>
        <w:bottom w:w="100" w:type="dxa"/>
        <w:right w:w="100" w:type="dxa"/>
      </w:tblCellMar>
    </w:tblPr>
  </w:style>
  <w:style w:type="table" w:customStyle="1" w:styleId="af5">
    <w:basedOn w:val="TableNormal6"/>
    <w:tblPr>
      <w:tblStyleRowBandSize w:val="1"/>
      <w:tblStyleColBandSize w:val="1"/>
      <w:tblCellMar>
        <w:top w:w="100" w:type="dxa"/>
        <w:left w:w="100" w:type="dxa"/>
        <w:bottom w:w="100" w:type="dxa"/>
        <w:right w:w="100" w:type="dxa"/>
      </w:tblCellMar>
    </w:tblPr>
  </w:style>
  <w:style w:type="table" w:customStyle="1" w:styleId="af6">
    <w:basedOn w:val="TableNormal6"/>
    <w:tblPr>
      <w:tblStyleRowBandSize w:val="1"/>
      <w:tblStyleColBandSize w:val="1"/>
      <w:tblCellMar>
        <w:top w:w="100" w:type="dxa"/>
        <w:left w:w="100" w:type="dxa"/>
        <w:bottom w:w="100" w:type="dxa"/>
        <w:right w:w="100" w:type="dxa"/>
      </w:tblCellMar>
    </w:tblPr>
  </w:style>
  <w:style w:type="table" w:customStyle="1" w:styleId="af7">
    <w:basedOn w:val="TableNormal6"/>
    <w:tblPr>
      <w:tblStyleRowBandSize w:val="1"/>
      <w:tblStyleColBandSize w:val="1"/>
      <w:tblCellMar>
        <w:top w:w="100" w:type="dxa"/>
        <w:left w:w="100" w:type="dxa"/>
        <w:bottom w:w="100" w:type="dxa"/>
        <w:right w:w="100" w:type="dxa"/>
      </w:tblCellMar>
    </w:tblPr>
  </w:style>
  <w:style w:type="table" w:customStyle="1" w:styleId="af8">
    <w:basedOn w:val="TableNormal6"/>
    <w:tblPr>
      <w:tblStyleRowBandSize w:val="1"/>
      <w:tblStyleColBandSize w:val="1"/>
      <w:tblCellMar>
        <w:top w:w="100" w:type="dxa"/>
        <w:left w:w="70" w:type="dxa"/>
        <w:bottom w:w="100" w:type="dxa"/>
        <w:right w:w="70" w:type="dxa"/>
      </w:tblCellMar>
    </w:tblPr>
  </w:style>
  <w:style w:type="table" w:customStyle="1" w:styleId="af9">
    <w:basedOn w:val="TableNormal6"/>
    <w:tblPr>
      <w:tblStyleRowBandSize w:val="1"/>
      <w:tblStyleColBandSize w:val="1"/>
      <w:tblCellMar>
        <w:top w:w="100" w:type="dxa"/>
        <w:left w:w="70" w:type="dxa"/>
        <w:bottom w:w="100" w:type="dxa"/>
        <w:right w:w="70" w:type="dxa"/>
      </w:tblCellMar>
    </w:tblPr>
  </w:style>
  <w:style w:type="table" w:customStyle="1" w:styleId="afa">
    <w:basedOn w:val="TableNormal6"/>
    <w:tblPr>
      <w:tblStyleRowBandSize w:val="1"/>
      <w:tblStyleColBandSize w:val="1"/>
      <w:tblCellMar>
        <w:top w:w="100" w:type="dxa"/>
        <w:left w:w="70" w:type="dxa"/>
        <w:bottom w:w="100" w:type="dxa"/>
        <w:right w:w="70" w:type="dxa"/>
      </w:tblCellMar>
    </w:tblPr>
  </w:style>
  <w:style w:type="table" w:customStyle="1" w:styleId="afb">
    <w:basedOn w:val="TableNormal6"/>
    <w:tblPr>
      <w:tblStyleRowBandSize w:val="1"/>
      <w:tblStyleColBandSize w:val="1"/>
      <w:tblCellMar>
        <w:top w:w="100" w:type="dxa"/>
        <w:left w:w="70" w:type="dxa"/>
        <w:bottom w:w="100" w:type="dxa"/>
        <w:right w:w="70" w:type="dxa"/>
      </w:tblCellMar>
    </w:tblPr>
  </w:style>
  <w:style w:type="table" w:customStyle="1" w:styleId="afc">
    <w:basedOn w:val="TableNormal6"/>
    <w:tblPr>
      <w:tblStyleRowBandSize w:val="1"/>
      <w:tblStyleColBandSize w:val="1"/>
      <w:tblCellMar>
        <w:top w:w="100" w:type="dxa"/>
        <w:left w:w="70" w:type="dxa"/>
        <w:bottom w:w="100" w:type="dxa"/>
        <w:right w:w="70" w:type="dxa"/>
      </w:tblCellMar>
    </w:tblPr>
  </w:style>
  <w:style w:type="table" w:customStyle="1" w:styleId="afd">
    <w:basedOn w:val="TableNormal6"/>
    <w:tblPr>
      <w:tblStyleRowBandSize w:val="1"/>
      <w:tblStyleColBandSize w:val="1"/>
      <w:tblCellMar>
        <w:top w:w="100" w:type="dxa"/>
        <w:left w:w="70" w:type="dxa"/>
        <w:bottom w:w="100" w:type="dxa"/>
        <w:right w:w="70" w:type="dxa"/>
      </w:tblCellMar>
    </w:tblPr>
  </w:style>
  <w:style w:type="table" w:customStyle="1" w:styleId="afe">
    <w:basedOn w:val="TableNormal6"/>
    <w:tblPr>
      <w:tblStyleRowBandSize w:val="1"/>
      <w:tblStyleColBandSize w:val="1"/>
      <w:tblCellMar>
        <w:top w:w="100" w:type="dxa"/>
        <w:left w:w="70" w:type="dxa"/>
        <w:bottom w:w="100" w:type="dxa"/>
        <w:right w:w="70" w:type="dxa"/>
      </w:tblCellMar>
    </w:tblPr>
  </w:style>
  <w:style w:type="table" w:customStyle="1" w:styleId="aff">
    <w:basedOn w:val="TableNormal0"/>
    <w:tblPr>
      <w:tblStyleRowBandSize w:val="1"/>
      <w:tblStyleColBandSize w:val="1"/>
      <w:tblCellMar>
        <w:top w:w="100" w:type="dxa"/>
        <w:left w:w="70" w:type="dxa"/>
        <w:bottom w:w="100" w:type="dxa"/>
        <w:right w:w="70" w:type="dxa"/>
      </w:tblCellMar>
    </w:tblPr>
  </w:style>
  <w:style w:type="table" w:customStyle="1" w:styleId="aff0">
    <w:basedOn w:val="TableNormal0"/>
    <w:tblPr>
      <w:tblStyleRowBandSize w:val="1"/>
      <w:tblStyleColBandSize w:val="1"/>
      <w:tblCellMar>
        <w:top w:w="100" w:type="dxa"/>
        <w:left w:w="70" w:type="dxa"/>
        <w:bottom w:w="100" w:type="dxa"/>
        <w:right w:w="70" w:type="dxa"/>
      </w:tblCellMar>
    </w:tblPr>
  </w:style>
  <w:style w:type="table" w:customStyle="1" w:styleId="aff1">
    <w:basedOn w:val="TableNormal0"/>
    <w:tblPr>
      <w:tblStyleRowBandSize w:val="1"/>
      <w:tblStyleColBandSize w:val="1"/>
      <w:tblCellMar>
        <w:top w:w="100" w:type="dxa"/>
        <w:left w:w="70" w:type="dxa"/>
        <w:bottom w:w="100" w:type="dxa"/>
        <w:right w:w="70" w:type="dxa"/>
      </w:tblCellMar>
    </w:tblPr>
  </w:style>
  <w:style w:type="table" w:customStyle="1" w:styleId="aff2">
    <w:basedOn w:val="TableNormal0"/>
    <w:tblPr>
      <w:tblStyleRowBandSize w:val="1"/>
      <w:tblStyleColBandSize w:val="1"/>
      <w:tblCellMar>
        <w:top w:w="100" w:type="dxa"/>
        <w:left w:w="70" w:type="dxa"/>
        <w:bottom w:w="100" w:type="dxa"/>
        <w:right w:w="70" w:type="dxa"/>
      </w:tblCellMar>
    </w:tblPr>
  </w:style>
  <w:style w:type="table" w:customStyle="1" w:styleId="aff3">
    <w:basedOn w:val="TableNormal0"/>
    <w:tblPr>
      <w:tblStyleRowBandSize w:val="1"/>
      <w:tblStyleColBandSize w:val="1"/>
      <w:tblCellMar>
        <w:top w:w="100" w:type="dxa"/>
        <w:left w:w="70" w:type="dxa"/>
        <w:bottom w:w="100" w:type="dxa"/>
        <w:right w:w="70" w:type="dxa"/>
      </w:tblCellMar>
    </w:tblPr>
  </w:style>
  <w:style w:type="table" w:customStyle="1" w:styleId="aff4">
    <w:basedOn w:val="TableNormal0"/>
    <w:tblPr>
      <w:tblStyleRowBandSize w:val="1"/>
      <w:tblStyleColBandSize w:val="1"/>
      <w:tblCellMar>
        <w:top w:w="100" w:type="dxa"/>
        <w:left w:w="70" w:type="dxa"/>
        <w:bottom w:w="100" w:type="dxa"/>
        <w:right w:w="70" w:type="dxa"/>
      </w:tblCellMar>
    </w:tblPr>
  </w:style>
  <w:style w:type="paragraph" w:styleId="Textoindependiente">
    <w:name w:val="Body Text"/>
    <w:basedOn w:val="Normal"/>
    <w:link w:val="TextoindependienteCar"/>
    <w:uiPriority w:val="1"/>
    <w:qFormat/>
    <w:rsid w:val="00DE0C0D"/>
    <w:pPr>
      <w:widowControl w:val="0"/>
      <w:autoSpaceDE w:val="0"/>
      <w:autoSpaceDN w:val="0"/>
    </w:pPr>
    <w:rPr>
      <w:rFonts w:ascii="Times New Roman" w:eastAsia="Times New Roman" w:hAnsi="Times New Roman" w:cs="Times New Roman"/>
      <w:sz w:val="22"/>
      <w:szCs w:val="22"/>
      <w:lang w:eastAsia="en-US"/>
    </w:rPr>
  </w:style>
  <w:style w:type="character" w:customStyle="1" w:styleId="TextoindependienteCar">
    <w:name w:val="Texto independiente Car"/>
    <w:basedOn w:val="Fuentedeprrafopredeter"/>
    <w:link w:val="Textoindependiente"/>
    <w:uiPriority w:val="1"/>
    <w:rsid w:val="00DE0C0D"/>
    <w:rPr>
      <w:rFonts w:ascii="Times New Roman" w:eastAsia="Times New Roman" w:hAnsi="Times New Roman" w:cs="Times New Roman"/>
      <w:sz w:val="22"/>
      <w:szCs w:val="22"/>
      <w:lang w:eastAsia="en-US"/>
    </w:rPr>
  </w:style>
  <w:style w:type="paragraph" w:styleId="Prrafodelista">
    <w:name w:val="List Paragraph"/>
    <w:aliases w:val="Ha,Resume Title,LISTA,List1,Bullet List,FooterText,numbered,List Paragraph1,Paragraphe de liste1,lp1,HOJA,Colorful List Accent 1,Colorful List - Accent 11,titulo 3,Colorful List - Accent 111,Bullets,Párrafo de lista2"/>
    <w:basedOn w:val="Normal"/>
    <w:link w:val="PrrafodelistaCar"/>
    <w:uiPriority w:val="34"/>
    <w:qFormat/>
    <w:rsid w:val="00DE0C0D"/>
    <w:pPr>
      <w:widowControl w:val="0"/>
      <w:autoSpaceDE w:val="0"/>
      <w:autoSpaceDN w:val="0"/>
      <w:ind w:left="978" w:hanging="361"/>
      <w:jc w:val="both"/>
    </w:pPr>
    <w:rPr>
      <w:rFonts w:ascii="Times New Roman" w:eastAsia="Times New Roman" w:hAnsi="Times New Roman" w:cs="Times New Roman"/>
      <w:sz w:val="22"/>
      <w:szCs w:val="22"/>
      <w:lang w:eastAsia="en-US"/>
    </w:rPr>
  </w:style>
  <w:style w:type="character" w:customStyle="1" w:styleId="PrrafodelistaCar">
    <w:name w:val="Párrafo de lista Car"/>
    <w:aliases w:val="Ha Car,Resume Title Car,LISTA Car,List1 Car,Bullet List Car,FooterText Car,numbered Car,List Paragraph1 Car,Paragraphe de liste1 Car,lp1 Car,HOJA Car,Colorful List Accent 1 Car,Colorful List - Accent 11 Car,titulo 3 Car,Bullets Car"/>
    <w:basedOn w:val="Fuentedeprrafopredeter"/>
    <w:link w:val="Prrafodelista"/>
    <w:uiPriority w:val="34"/>
    <w:qFormat/>
    <w:locked/>
    <w:rsid w:val="004A29ED"/>
    <w:rPr>
      <w:rFonts w:ascii="Times New Roman" w:eastAsia="Times New Roman" w:hAnsi="Times New Roman" w:cs="Times New Roman"/>
      <w:sz w:val="22"/>
      <w:szCs w:val="22"/>
      <w:lang w:eastAsia="en-US"/>
    </w:rPr>
  </w:style>
  <w:style w:type="paragraph" w:customStyle="1" w:styleId="Default">
    <w:name w:val="Default"/>
    <w:rsid w:val="00A765E5"/>
    <w:pPr>
      <w:autoSpaceDE w:val="0"/>
      <w:autoSpaceDN w:val="0"/>
      <w:adjustRightInd w:val="0"/>
    </w:pPr>
    <w:rPr>
      <w:color w:val="000000"/>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Z8whUjh0MVDqEYABzlKG2WvzYZg==">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516</Words>
  <Characters>2844</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SERGIO ALEXANDER MARTINEZ LOPEZ</dc:creator>
  <cp:lastModifiedBy>MORRISON TARQUINO DAZA</cp:lastModifiedBy>
  <cp:revision>2</cp:revision>
  <dcterms:created xsi:type="dcterms:W3CDTF">2025-11-28T19:46:00Z</dcterms:created>
  <dcterms:modified xsi:type="dcterms:W3CDTF">2025-11-28T19:46:00Z</dcterms:modified>
</cp:coreProperties>
</file>